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21" w:rsidRPr="00800DEA" w:rsidRDefault="00486D21" w:rsidP="006A2127">
      <w:pPr>
        <w:ind w:left="567" w:right="567"/>
        <w:jc w:val="center"/>
        <w:rPr>
          <w:rFonts w:ascii="Arial" w:hAnsi="Arial" w:cs="Arial"/>
          <w:b/>
        </w:rPr>
      </w:pPr>
      <w:bookmarkStart w:id="0" w:name="_GoBack"/>
      <w:bookmarkEnd w:id="0"/>
      <w:r w:rsidRPr="00800DEA">
        <w:rPr>
          <w:rFonts w:ascii="Arial" w:hAnsi="Arial" w:cs="Arial"/>
          <w:b/>
          <w:noProof/>
          <w:lang w:val="en-ZA" w:eastAsia="en-ZA"/>
        </w:rPr>
        <w:drawing>
          <wp:inline distT="0" distB="0" distL="0" distR="0" wp14:anchorId="0C8D2E40" wp14:editId="1F34102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486D21" w:rsidRPr="00800DEA" w:rsidRDefault="00486D21" w:rsidP="006A2127">
      <w:pPr>
        <w:ind w:left="567" w:right="567"/>
        <w:jc w:val="center"/>
        <w:rPr>
          <w:rFonts w:ascii="Arial" w:hAnsi="Arial" w:cs="Arial"/>
          <w:b/>
        </w:rPr>
      </w:pPr>
    </w:p>
    <w:p w:rsidR="00486D21" w:rsidRPr="00800DEA" w:rsidRDefault="00486D21" w:rsidP="006A2127">
      <w:pPr>
        <w:ind w:left="567" w:right="567"/>
        <w:jc w:val="center"/>
        <w:rPr>
          <w:rFonts w:ascii="Arial" w:hAnsi="Arial" w:cs="Arial"/>
          <w:b/>
        </w:rPr>
      </w:pPr>
    </w:p>
    <w:p w:rsidR="00486D21" w:rsidRPr="00800DEA" w:rsidRDefault="00486D21" w:rsidP="006A2127">
      <w:pPr>
        <w:ind w:left="567" w:right="567"/>
        <w:jc w:val="center"/>
        <w:rPr>
          <w:rFonts w:ascii="Arial" w:hAnsi="Arial" w:cs="Arial"/>
          <w:b/>
        </w:rPr>
      </w:pPr>
    </w:p>
    <w:p w:rsidR="00486D21" w:rsidRPr="00800DEA" w:rsidRDefault="00007630" w:rsidP="006A2127">
      <w:pPr>
        <w:ind w:left="567" w:right="567"/>
        <w:jc w:val="center"/>
        <w:rPr>
          <w:rFonts w:ascii="Arial" w:hAnsi="Arial" w:cs="Arial"/>
          <w:b/>
        </w:rPr>
      </w:pPr>
      <w:r w:rsidRPr="00800DEA">
        <w:rPr>
          <w:rFonts w:ascii="Arial" w:hAnsi="Arial" w:cs="Arial"/>
          <w:b/>
        </w:rPr>
        <w:t xml:space="preserve">OUTCOME OF </w:t>
      </w:r>
      <w:r w:rsidR="00486D21" w:rsidRPr="00800DEA">
        <w:rPr>
          <w:rFonts w:ascii="Arial" w:hAnsi="Arial" w:cs="Arial"/>
          <w:b/>
        </w:rPr>
        <w:t>TRIBUNAL ROLL FOR WEDNESDAY, 26 JULY, 2017</w:t>
      </w:r>
    </w:p>
    <w:p w:rsidR="00486D21" w:rsidRPr="00800DEA" w:rsidRDefault="00486D21" w:rsidP="006A2127">
      <w:pPr>
        <w:ind w:left="567" w:right="567"/>
        <w:jc w:val="both"/>
        <w:rPr>
          <w:rFonts w:ascii="Arial" w:hAnsi="Arial" w:cs="Arial"/>
          <w:b/>
        </w:rPr>
      </w:pPr>
    </w:p>
    <w:p w:rsidR="00486D21" w:rsidRPr="00800DEA" w:rsidRDefault="00486D21" w:rsidP="006A2127">
      <w:pPr>
        <w:ind w:left="567" w:right="567"/>
        <w:jc w:val="both"/>
        <w:rPr>
          <w:rFonts w:ascii="Arial" w:hAnsi="Arial" w:cs="Arial"/>
          <w:b/>
        </w:rPr>
      </w:pPr>
    </w:p>
    <w:p w:rsidR="00486D21" w:rsidRPr="00800DEA" w:rsidRDefault="00486D21" w:rsidP="006A2127">
      <w:pPr>
        <w:ind w:left="567" w:right="567"/>
        <w:jc w:val="both"/>
        <w:rPr>
          <w:rFonts w:ascii="Arial" w:hAnsi="Arial" w:cs="Arial"/>
        </w:rPr>
      </w:pPr>
    </w:p>
    <w:tbl>
      <w:tblPr>
        <w:tblStyle w:val="TableGrid"/>
        <w:tblW w:w="8879"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039"/>
        <w:gridCol w:w="2497"/>
        <w:gridCol w:w="2126"/>
        <w:gridCol w:w="2217"/>
      </w:tblGrid>
      <w:tr w:rsidR="00D54527" w:rsidRPr="00800DEA" w:rsidTr="000E489F">
        <w:trPr>
          <w:trHeight w:val="972"/>
        </w:trPr>
        <w:tc>
          <w:tcPr>
            <w:tcW w:w="2039"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Type of matter</w:t>
            </w:r>
          </w:p>
        </w:tc>
        <w:tc>
          <w:tcPr>
            <w:tcW w:w="2497"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Parties involved</w:t>
            </w:r>
          </w:p>
        </w:tc>
        <w:tc>
          <w:tcPr>
            <w:tcW w:w="2126" w:type="dxa"/>
            <w:shd w:val="clear" w:color="auto" w:fill="996633"/>
          </w:tcPr>
          <w:p w:rsidR="00D54527" w:rsidRPr="00800DEA" w:rsidRDefault="00D54527" w:rsidP="000E489F">
            <w:pPr>
              <w:ind w:right="567"/>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217" w:type="dxa"/>
            <w:shd w:val="clear" w:color="auto" w:fill="996633"/>
          </w:tcPr>
          <w:p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 xml:space="preserve">Tribunal decision </w:t>
            </w:r>
          </w:p>
        </w:tc>
      </w:tr>
      <w:tr w:rsidR="00D54527" w:rsidRPr="00800DEA" w:rsidTr="000E489F">
        <w:trPr>
          <w:trHeight w:val="493"/>
        </w:trPr>
        <w:tc>
          <w:tcPr>
            <w:tcW w:w="2039" w:type="dxa"/>
          </w:tcPr>
          <w:p w:rsidR="00D54527" w:rsidRPr="00800DEA" w:rsidRDefault="00D54527" w:rsidP="000E489F">
            <w:pPr>
              <w:ind w:right="567"/>
              <w:jc w:val="both"/>
              <w:rPr>
                <w:rFonts w:ascii="Arial" w:hAnsi="Arial" w:cs="Arial"/>
              </w:rPr>
            </w:pPr>
            <w:r w:rsidRPr="00800DEA">
              <w:rPr>
                <w:rFonts w:ascii="Arial" w:hAnsi="Arial" w:cs="Arial"/>
              </w:rPr>
              <w:t xml:space="preserve">Large merger </w:t>
            </w:r>
          </w:p>
        </w:tc>
        <w:tc>
          <w:tcPr>
            <w:tcW w:w="2497" w:type="dxa"/>
          </w:tcPr>
          <w:p w:rsidR="00D54527" w:rsidRPr="00800DEA" w:rsidRDefault="00D54527" w:rsidP="000E489F">
            <w:pPr>
              <w:ind w:right="567"/>
              <w:jc w:val="both"/>
              <w:rPr>
                <w:rFonts w:ascii="Arial" w:hAnsi="Arial" w:cs="Arial"/>
              </w:rPr>
            </w:pPr>
            <w:r w:rsidRPr="00800DEA">
              <w:rPr>
                <w:rFonts w:ascii="Arial" w:hAnsi="Arial" w:cs="Arial"/>
                <w:color w:val="000000"/>
              </w:rPr>
              <w:t xml:space="preserve">EOH Industrial Technologies (Pty) Ltd And Powertech System </w:t>
            </w:r>
            <w:r w:rsidR="00651367">
              <w:rPr>
                <w:rFonts w:ascii="Arial" w:hAnsi="Arial" w:cs="Arial"/>
                <w:color w:val="000000"/>
              </w:rPr>
              <w:t>Inte</w:t>
            </w:r>
            <w:r w:rsidRPr="00800DEA">
              <w:rPr>
                <w:rFonts w:ascii="Arial" w:hAnsi="Arial" w:cs="Arial"/>
                <w:color w:val="000000"/>
              </w:rPr>
              <w:t xml:space="preserve">grators (Pty) Ltd </w:t>
            </w:r>
          </w:p>
        </w:tc>
        <w:tc>
          <w:tcPr>
            <w:tcW w:w="2126" w:type="dxa"/>
          </w:tcPr>
          <w:p w:rsidR="00D54527" w:rsidRPr="00800DEA" w:rsidRDefault="00D54527" w:rsidP="000E489F">
            <w:pPr>
              <w:ind w:right="567"/>
              <w:jc w:val="both"/>
              <w:rPr>
                <w:rFonts w:ascii="Arial" w:hAnsi="Arial" w:cs="Arial"/>
              </w:rPr>
            </w:pPr>
            <w:r w:rsidRPr="00800DEA">
              <w:rPr>
                <w:rFonts w:ascii="Arial" w:hAnsi="Arial" w:cs="Arial"/>
              </w:rPr>
              <w:t xml:space="preserve">Approve without conditions </w:t>
            </w:r>
          </w:p>
        </w:tc>
        <w:tc>
          <w:tcPr>
            <w:tcW w:w="2217" w:type="dxa"/>
          </w:tcPr>
          <w:p w:rsidR="00D54527" w:rsidRPr="00800DEA" w:rsidRDefault="00365299" w:rsidP="000E489F">
            <w:pPr>
              <w:ind w:right="567"/>
              <w:jc w:val="both"/>
              <w:rPr>
                <w:rFonts w:ascii="Arial" w:hAnsi="Arial" w:cs="Arial"/>
              </w:rPr>
            </w:pPr>
            <w:r w:rsidRPr="00800DEA">
              <w:rPr>
                <w:rFonts w:ascii="Arial" w:hAnsi="Arial" w:cs="Arial"/>
              </w:rPr>
              <w:t xml:space="preserve">Approved without conditions </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Jesiflex (Pty) Ltd And Kevro Holdings (Pty) Ltd</w:t>
            </w:r>
          </w:p>
        </w:tc>
        <w:tc>
          <w:tcPr>
            <w:tcW w:w="2126" w:type="dxa"/>
          </w:tcPr>
          <w:p w:rsidR="00D54527" w:rsidRPr="00800DEA" w:rsidRDefault="00D54527" w:rsidP="000E489F">
            <w:pPr>
              <w:ind w:right="567"/>
              <w:rPr>
                <w:rFonts w:ascii="Arial" w:hAnsi="Arial" w:cs="Arial"/>
              </w:rPr>
            </w:pPr>
            <w:r w:rsidRPr="00800DEA">
              <w:rPr>
                <w:rFonts w:ascii="Arial" w:hAnsi="Arial" w:cs="Arial"/>
              </w:rPr>
              <w:t>Approve without conditions</w:t>
            </w:r>
          </w:p>
        </w:tc>
        <w:tc>
          <w:tcPr>
            <w:tcW w:w="2217" w:type="dxa"/>
          </w:tcPr>
          <w:p w:rsidR="00D54527" w:rsidRPr="00800DEA" w:rsidRDefault="009D3256" w:rsidP="000E489F">
            <w:pPr>
              <w:ind w:right="567"/>
              <w:rPr>
                <w:rFonts w:ascii="Arial" w:hAnsi="Arial" w:cs="Arial"/>
              </w:rPr>
            </w:pPr>
            <w:r w:rsidRPr="00800DEA">
              <w:rPr>
                <w:rFonts w:ascii="Arial" w:hAnsi="Arial" w:cs="Arial"/>
              </w:rPr>
              <w:t>Approved without conditions</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Brookfield As</w:t>
            </w:r>
            <w:r w:rsidR="00800DEA" w:rsidRPr="00800DEA">
              <w:rPr>
                <w:rFonts w:ascii="Arial" w:hAnsi="Arial" w:cs="Arial"/>
                <w:color w:val="000000"/>
              </w:rPr>
              <w:t>set Management Inc. And Terrafor</w:t>
            </w:r>
            <w:r w:rsidRPr="00800DEA">
              <w:rPr>
                <w:rFonts w:ascii="Arial" w:hAnsi="Arial" w:cs="Arial"/>
                <w:color w:val="000000"/>
              </w:rPr>
              <w:t>m Global Inc.</w:t>
            </w:r>
          </w:p>
        </w:tc>
        <w:tc>
          <w:tcPr>
            <w:tcW w:w="2126" w:type="dxa"/>
          </w:tcPr>
          <w:p w:rsidR="00D54527" w:rsidRPr="00800DEA" w:rsidRDefault="00D54527" w:rsidP="000E489F">
            <w:pPr>
              <w:ind w:right="567"/>
              <w:rPr>
                <w:rFonts w:ascii="Arial" w:hAnsi="Arial" w:cs="Arial"/>
              </w:rPr>
            </w:pPr>
            <w:r w:rsidRPr="00800DEA">
              <w:rPr>
                <w:rFonts w:ascii="Arial" w:hAnsi="Arial" w:cs="Arial"/>
              </w:rPr>
              <w:t xml:space="preserve">Approve without conditions </w:t>
            </w:r>
          </w:p>
        </w:tc>
        <w:tc>
          <w:tcPr>
            <w:tcW w:w="2217" w:type="dxa"/>
          </w:tcPr>
          <w:p w:rsidR="00D54527" w:rsidRPr="00800DEA" w:rsidRDefault="009D3256" w:rsidP="000E489F">
            <w:pPr>
              <w:ind w:right="567"/>
              <w:rPr>
                <w:rFonts w:ascii="Arial" w:hAnsi="Arial" w:cs="Arial"/>
              </w:rPr>
            </w:pPr>
            <w:r w:rsidRPr="00800DEA">
              <w:rPr>
                <w:rFonts w:ascii="Arial" w:hAnsi="Arial" w:cs="Arial"/>
              </w:rPr>
              <w:t xml:space="preserve">Approved without conditions </w:t>
            </w:r>
          </w:p>
        </w:tc>
      </w:tr>
      <w:tr w:rsidR="00D54527" w:rsidRPr="00800DEA" w:rsidTr="000E489F">
        <w:trPr>
          <w:trHeight w:val="70"/>
        </w:trPr>
        <w:tc>
          <w:tcPr>
            <w:tcW w:w="2039"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Consent agreement </w:t>
            </w:r>
          </w:p>
        </w:tc>
        <w:tc>
          <w:tcPr>
            <w:tcW w:w="2497" w:type="dxa"/>
          </w:tcPr>
          <w:p w:rsidR="00D54527" w:rsidRPr="00800DEA" w:rsidRDefault="00D54527" w:rsidP="000E489F">
            <w:pPr>
              <w:ind w:right="567"/>
              <w:jc w:val="both"/>
              <w:rPr>
                <w:rFonts w:ascii="Arial" w:hAnsi="Arial" w:cs="Arial"/>
                <w:color w:val="000000"/>
              </w:rPr>
            </w:pPr>
            <w:r w:rsidRPr="00800DEA">
              <w:rPr>
                <w:rFonts w:ascii="Arial" w:hAnsi="Arial" w:cs="Arial"/>
                <w:color w:val="000000"/>
              </w:rPr>
              <w:t>Competition Commission And SBS Household Appliances t/a SMEG (Pty) Ltd</w:t>
            </w:r>
          </w:p>
        </w:tc>
        <w:tc>
          <w:tcPr>
            <w:tcW w:w="2126" w:type="dxa"/>
          </w:tcPr>
          <w:p w:rsidR="00D54527" w:rsidRPr="00800DEA" w:rsidRDefault="00D54527" w:rsidP="000E489F">
            <w:pPr>
              <w:ind w:right="567"/>
              <w:rPr>
                <w:rFonts w:ascii="Arial" w:hAnsi="Arial" w:cs="Arial"/>
              </w:rPr>
            </w:pPr>
            <w:r w:rsidRPr="00800DEA">
              <w:rPr>
                <w:rFonts w:ascii="Arial" w:hAnsi="Arial" w:cs="Arial"/>
              </w:rPr>
              <w:t>Confirmation of settlement agreement</w:t>
            </w:r>
          </w:p>
        </w:tc>
        <w:tc>
          <w:tcPr>
            <w:tcW w:w="2217" w:type="dxa"/>
          </w:tcPr>
          <w:p w:rsidR="00D54527" w:rsidRPr="00800DEA" w:rsidRDefault="009D3256" w:rsidP="000E489F">
            <w:pPr>
              <w:ind w:right="567"/>
              <w:rPr>
                <w:rFonts w:ascii="Arial" w:hAnsi="Arial" w:cs="Arial"/>
              </w:rPr>
            </w:pPr>
            <w:r w:rsidRPr="00800DEA">
              <w:rPr>
                <w:rFonts w:ascii="Arial" w:hAnsi="Arial" w:cs="Arial"/>
              </w:rPr>
              <w:t xml:space="preserve">Awaiting further documents </w:t>
            </w:r>
          </w:p>
        </w:tc>
      </w:tr>
    </w:tbl>
    <w:p w:rsidR="00486D21" w:rsidRPr="00800DEA" w:rsidRDefault="00486D21" w:rsidP="006A2127">
      <w:pPr>
        <w:ind w:left="567" w:right="567"/>
        <w:jc w:val="both"/>
        <w:rPr>
          <w:rFonts w:ascii="Arial" w:eastAsia="Calibri" w:hAnsi="Arial" w:cs="Arial"/>
          <w:b/>
        </w:rPr>
      </w:pPr>
    </w:p>
    <w:p w:rsidR="00A233D3" w:rsidRPr="00800DEA" w:rsidRDefault="00A233D3" w:rsidP="006A2127">
      <w:pPr>
        <w:autoSpaceDE w:val="0"/>
        <w:autoSpaceDN w:val="0"/>
        <w:spacing w:after="160" w:line="276" w:lineRule="auto"/>
        <w:ind w:left="567" w:right="567"/>
        <w:contextualSpacing/>
        <w:jc w:val="both"/>
        <w:rPr>
          <w:rFonts w:ascii="Arial" w:hAnsi="Arial" w:cs="Arial"/>
          <w:b/>
          <w:bCs/>
        </w:rPr>
      </w:pPr>
      <w:r w:rsidRPr="00800DEA">
        <w:rPr>
          <w:rFonts w:ascii="Arial" w:hAnsi="Arial" w:cs="Arial"/>
          <w:b/>
          <w:bCs/>
        </w:rPr>
        <w:t xml:space="preserve">JSE-listed EOH Industrial Technologies to acquire Powertech System Integrators </w:t>
      </w:r>
    </w:p>
    <w:p w:rsidR="00A233D3" w:rsidRPr="00800DEA" w:rsidRDefault="00A233D3" w:rsidP="006A2127">
      <w:pPr>
        <w:autoSpaceDE w:val="0"/>
        <w:autoSpaceDN w:val="0"/>
        <w:spacing w:line="276" w:lineRule="auto"/>
        <w:ind w:left="567" w:right="567"/>
        <w:jc w:val="both"/>
        <w:rPr>
          <w:rFonts w:ascii="Arial" w:hAnsi="Arial" w:cs="Arial"/>
          <w:b/>
          <w:bCs/>
        </w:rPr>
      </w:pPr>
    </w:p>
    <w:p w:rsidR="00A233D3" w:rsidRPr="00800DEA" w:rsidRDefault="00A233D3" w:rsidP="006A2127">
      <w:pPr>
        <w:autoSpaceDE w:val="0"/>
        <w:autoSpaceDN w:val="0"/>
        <w:spacing w:line="276" w:lineRule="auto"/>
        <w:ind w:left="567" w:right="567"/>
        <w:jc w:val="both"/>
        <w:rPr>
          <w:rFonts w:ascii="Arial" w:hAnsi="Arial" w:cs="Arial"/>
        </w:rPr>
      </w:pPr>
      <w:r w:rsidRPr="00800DEA">
        <w:rPr>
          <w:rFonts w:ascii="Arial" w:hAnsi="Arial" w:cs="Arial"/>
        </w:rPr>
        <w:t xml:space="preserve">The Tribunal </w:t>
      </w:r>
      <w:r w:rsidR="00365299" w:rsidRPr="00800DEA">
        <w:rPr>
          <w:rFonts w:ascii="Arial" w:hAnsi="Arial" w:cs="Arial"/>
        </w:rPr>
        <w:t xml:space="preserve">has approved a </w:t>
      </w:r>
      <w:r w:rsidRPr="00800DEA">
        <w:rPr>
          <w:rFonts w:ascii="Arial" w:hAnsi="Arial" w:cs="Arial"/>
        </w:rPr>
        <w:t>large merger between EOH Industrial Technologies Proprietary Limited (“EOH Industrial Tech”) and certain business of Powertech System Integrators Proprietary Limited (Powertech).</w:t>
      </w:r>
      <w:r w:rsidR="00365299" w:rsidRPr="00800DEA">
        <w:rPr>
          <w:rFonts w:ascii="Arial" w:hAnsi="Arial" w:cs="Arial"/>
        </w:rPr>
        <w:t xml:space="preserve"> The merger has been approved without conditions. </w:t>
      </w:r>
    </w:p>
    <w:p w:rsidR="00A233D3" w:rsidRPr="00800DEA" w:rsidRDefault="00A233D3" w:rsidP="006A2127">
      <w:pPr>
        <w:autoSpaceDE w:val="0"/>
        <w:autoSpaceDN w:val="0"/>
        <w:spacing w:line="276" w:lineRule="auto"/>
        <w:ind w:left="567" w:right="567"/>
        <w:jc w:val="both"/>
        <w:rPr>
          <w:rFonts w:ascii="Arial" w:hAnsi="Arial" w:cs="Arial"/>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color w:val="111111"/>
          <w:shd w:val="clear" w:color="auto" w:fill="FFFFFF"/>
        </w:rPr>
        <w:t xml:space="preserve">EOH Industrial Tech is wholly controlled by JSE-listed EOH Holdings limited (“EOH”), a technology solutions provider. </w:t>
      </w:r>
      <w:r w:rsidRPr="00800DEA">
        <w:rPr>
          <w:rFonts w:ascii="Arial" w:hAnsi="Arial" w:cs="Arial"/>
          <w:lang w:val="en-GB"/>
        </w:rPr>
        <w:t xml:space="preserve">EOH’s key business areas are IT services, software, IT infrastructure, industrial technologies and business process outsourcing. </w:t>
      </w: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 </w:t>
      </w: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lastRenderedPageBreak/>
        <w:t>Powertech is controlled by Power Technologies (Pty) Ltd, which is, in turn, ultimately controlled by Allied Electronics Corporation Ltd, a firm listed on the JSE. The Businesses forming the part of the tra</w:t>
      </w:r>
      <w:r w:rsidR="00365299" w:rsidRPr="00800DEA">
        <w:rPr>
          <w:rFonts w:ascii="Arial" w:hAnsi="Arial" w:cs="Arial"/>
          <w:lang w:val="en-GB"/>
        </w:rPr>
        <w:t>nsaction before the Tribunal are</w:t>
      </w:r>
      <w:r w:rsidRPr="00800DEA">
        <w:rPr>
          <w:rFonts w:ascii="Arial" w:hAnsi="Arial" w:cs="Arial"/>
          <w:lang w:val="en-GB"/>
        </w:rPr>
        <w:t xml:space="preserve"> the businesses active in the markets for engineering information systems, power infrastructure management and energy management.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A233D3" w:rsidP="006A2127">
      <w:pPr>
        <w:ind w:left="567" w:right="567"/>
        <w:rPr>
          <w:rFonts w:ascii="Arial" w:hAnsi="Arial" w:cs="Arial"/>
          <w:b/>
          <w:lang w:val="en-ZA"/>
        </w:rPr>
      </w:pPr>
      <w:r w:rsidRPr="00800DEA">
        <w:rPr>
          <w:rFonts w:ascii="Arial" w:hAnsi="Arial" w:cs="Arial"/>
          <w:b/>
          <w:lang w:val="en-GB"/>
        </w:rPr>
        <w:t xml:space="preserve">Merger </w:t>
      </w:r>
      <w:r w:rsidR="00365299" w:rsidRPr="00800DEA">
        <w:rPr>
          <w:rFonts w:ascii="Arial" w:hAnsi="Arial" w:cs="Arial"/>
          <w:b/>
          <w:lang w:val="en-GB"/>
        </w:rPr>
        <w:t xml:space="preserve">relating to </w:t>
      </w:r>
      <w:r w:rsidRPr="00800DEA">
        <w:rPr>
          <w:rFonts w:ascii="Arial" w:hAnsi="Arial" w:cs="Arial"/>
          <w:b/>
        </w:rPr>
        <w:t>supply of promoti</w:t>
      </w:r>
      <w:r w:rsidR="00365299" w:rsidRPr="00800DEA">
        <w:rPr>
          <w:rFonts w:ascii="Arial" w:hAnsi="Arial" w:cs="Arial"/>
          <w:b/>
        </w:rPr>
        <w:t xml:space="preserve">onal and branded products market approved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4B4D2B" w:rsidP="006A2127">
      <w:pPr>
        <w:spacing w:line="276" w:lineRule="auto"/>
        <w:ind w:left="567" w:right="567"/>
        <w:jc w:val="both"/>
        <w:rPr>
          <w:rFonts w:ascii="Arial" w:hAnsi="Arial" w:cs="Arial"/>
          <w:lang w:val="en-ZA"/>
        </w:rPr>
      </w:pPr>
      <w:r w:rsidRPr="00800DEA">
        <w:rPr>
          <w:rFonts w:ascii="Arial" w:hAnsi="Arial" w:cs="Arial"/>
          <w:lang w:val="en-GB"/>
        </w:rPr>
        <w:t xml:space="preserve">The merger between </w:t>
      </w:r>
      <w:r w:rsidR="00A233D3" w:rsidRPr="00800DEA">
        <w:rPr>
          <w:rFonts w:ascii="Arial" w:hAnsi="Arial" w:cs="Arial"/>
          <w:lang w:val="en-GB"/>
        </w:rPr>
        <w:t>Jesiflex (Pty) Ltd (Jesiflex)</w:t>
      </w:r>
      <w:r w:rsidRPr="00800DEA">
        <w:rPr>
          <w:rFonts w:ascii="Arial" w:hAnsi="Arial" w:cs="Arial"/>
          <w:lang w:val="en-GB"/>
        </w:rPr>
        <w:t>,</w:t>
      </w:r>
      <w:r w:rsidR="00A233D3" w:rsidRPr="00800DEA">
        <w:rPr>
          <w:rFonts w:ascii="Arial" w:hAnsi="Arial" w:cs="Arial"/>
          <w:lang w:val="en-GB"/>
        </w:rPr>
        <w:t xml:space="preserve"> </w:t>
      </w:r>
      <w:r w:rsidR="00A233D3" w:rsidRPr="00800DEA">
        <w:rPr>
          <w:rFonts w:ascii="Arial" w:hAnsi="Arial" w:cs="Arial"/>
        </w:rPr>
        <w:t>a newly formed acquisition vehicle established for the purposes of the proposed transaction</w:t>
      </w:r>
      <w:r w:rsidRPr="00800DEA">
        <w:rPr>
          <w:rFonts w:ascii="Arial" w:hAnsi="Arial" w:cs="Arial"/>
        </w:rPr>
        <w:t xml:space="preserve"> and Kevro Holdings has been approved without conditions.</w:t>
      </w:r>
    </w:p>
    <w:p w:rsidR="00A233D3" w:rsidRPr="00800DEA" w:rsidRDefault="00A233D3" w:rsidP="006A2127">
      <w:pPr>
        <w:spacing w:line="276" w:lineRule="auto"/>
        <w:ind w:left="567" w:right="567"/>
        <w:jc w:val="both"/>
        <w:rPr>
          <w:rFonts w:ascii="Arial" w:hAnsi="Arial" w:cs="Arial"/>
        </w:rPr>
      </w:pPr>
    </w:p>
    <w:p w:rsidR="00A233D3" w:rsidRPr="00800DEA" w:rsidRDefault="009D3256" w:rsidP="006A2127">
      <w:pPr>
        <w:ind w:left="567" w:right="567"/>
        <w:rPr>
          <w:rFonts w:ascii="Arial" w:hAnsi="Arial" w:cs="Arial"/>
        </w:rPr>
      </w:pPr>
      <w:r w:rsidRPr="00800DEA">
        <w:rPr>
          <w:rFonts w:ascii="Arial" w:hAnsi="Arial" w:cs="Arial"/>
        </w:rPr>
        <w:t>The target</w:t>
      </w:r>
      <w:r w:rsidR="00A233D3" w:rsidRPr="00800DEA">
        <w:rPr>
          <w:rFonts w:ascii="Arial" w:hAnsi="Arial" w:cs="Arial"/>
        </w:rPr>
        <w:t xml:space="preserve"> company Kevro is a corporate and promotional product supplier in Africa. Kevro is engaged in the wholesale supply of various branded promotional products to distributors and re-sellers who on sell these products to customers predominantly in the corporate sector. </w:t>
      </w:r>
    </w:p>
    <w:p w:rsidR="00A233D3" w:rsidRPr="00800DEA" w:rsidRDefault="00A233D3" w:rsidP="006A2127">
      <w:pPr>
        <w:ind w:left="567" w:right="567"/>
        <w:jc w:val="both"/>
        <w:rPr>
          <w:rFonts w:ascii="Arial" w:hAnsi="Arial" w:cs="Arial"/>
        </w:rPr>
      </w:pPr>
    </w:p>
    <w:p w:rsidR="00A233D3" w:rsidRPr="00800DEA" w:rsidRDefault="00A233D3" w:rsidP="006A2127">
      <w:pPr>
        <w:ind w:left="567" w:right="567"/>
        <w:jc w:val="both"/>
        <w:rPr>
          <w:rFonts w:ascii="Arial" w:hAnsi="Arial" w:cs="Arial"/>
        </w:rPr>
      </w:pPr>
      <w:r w:rsidRPr="00800DEA">
        <w:rPr>
          <w:rFonts w:ascii="Arial" w:hAnsi="Arial" w:cs="Arial"/>
        </w:rPr>
        <w:t xml:space="preserve">It offers a range of clothing and </w:t>
      </w:r>
      <w:r w:rsidR="009D3256" w:rsidRPr="00800DEA">
        <w:rPr>
          <w:rFonts w:ascii="Arial" w:hAnsi="Arial" w:cs="Arial"/>
        </w:rPr>
        <w:t>gifting products, as well as</w:t>
      </w:r>
      <w:r w:rsidRPr="00800DEA">
        <w:rPr>
          <w:rFonts w:ascii="Arial" w:hAnsi="Arial" w:cs="Arial"/>
        </w:rPr>
        <w:t xml:space="preserve"> branding services. Its products include branded apparel, work wear, chef and sport wear, head wear, gifting and bags, as well as display items such as banners and flags.</w:t>
      </w:r>
    </w:p>
    <w:p w:rsidR="00A233D3" w:rsidRPr="00800DEA" w:rsidRDefault="00A233D3" w:rsidP="006A2127">
      <w:pPr>
        <w:ind w:left="567" w:right="567"/>
        <w:jc w:val="both"/>
        <w:rPr>
          <w:rFonts w:ascii="Arial" w:hAnsi="Arial" w:cs="Arial"/>
        </w:rPr>
      </w:pPr>
    </w:p>
    <w:p w:rsidR="00A233D3" w:rsidRPr="00800DEA" w:rsidRDefault="009D3256" w:rsidP="006A2127">
      <w:pPr>
        <w:ind w:left="567" w:right="567"/>
        <w:rPr>
          <w:rFonts w:ascii="Arial" w:hAnsi="Arial" w:cs="Arial"/>
        </w:rPr>
      </w:pPr>
      <w:r w:rsidRPr="00800DEA">
        <w:rPr>
          <w:rFonts w:ascii="Arial" w:hAnsi="Arial" w:cs="Arial"/>
        </w:rPr>
        <w:t xml:space="preserve">The merger will see </w:t>
      </w:r>
      <w:r w:rsidR="00A233D3" w:rsidRPr="00800DEA">
        <w:rPr>
          <w:rFonts w:ascii="Arial" w:hAnsi="Arial" w:cs="Arial"/>
        </w:rPr>
        <w:t xml:space="preserve">Jesiflex acquire control of Kevro. </w:t>
      </w:r>
    </w:p>
    <w:p w:rsidR="004B4D2B" w:rsidRPr="00800DEA" w:rsidRDefault="004B4D2B" w:rsidP="006A2127">
      <w:pPr>
        <w:ind w:left="567" w:right="567"/>
        <w:rPr>
          <w:rFonts w:ascii="Arial" w:eastAsia="Calibri" w:hAnsi="Arial" w:cs="Arial"/>
          <w:b/>
        </w:rPr>
      </w:pPr>
    </w:p>
    <w:p w:rsidR="00A233D3" w:rsidRPr="00800DEA" w:rsidRDefault="00A233D3" w:rsidP="006A2127">
      <w:pPr>
        <w:autoSpaceDE w:val="0"/>
        <w:autoSpaceDN w:val="0"/>
        <w:spacing w:line="276" w:lineRule="auto"/>
        <w:ind w:left="567" w:right="567"/>
        <w:jc w:val="both"/>
        <w:rPr>
          <w:rFonts w:ascii="Arial" w:hAnsi="Arial" w:cs="Arial"/>
          <w:b/>
          <w:bCs/>
          <w:lang w:val="en-ZA"/>
        </w:rPr>
      </w:pPr>
      <w:r w:rsidRPr="00800DEA">
        <w:rPr>
          <w:rFonts w:ascii="Arial" w:hAnsi="Arial" w:cs="Arial"/>
          <w:b/>
          <w:bCs/>
          <w:lang w:val="en-ZA"/>
        </w:rPr>
        <w:t xml:space="preserve">Merger relating to solar and wind power market </w:t>
      </w:r>
    </w:p>
    <w:p w:rsidR="00E07C8C" w:rsidRPr="00800DEA" w:rsidRDefault="00E07C8C" w:rsidP="006A2127">
      <w:pPr>
        <w:autoSpaceDE w:val="0"/>
        <w:autoSpaceDN w:val="0"/>
        <w:spacing w:line="276" w:lineRule="auto"/>
        <w:ind w:left="567" w:right="567"/>
        <w:jc w:val="both"/>
        <w:rPr>
          <w:rFonts w:ascii="Arial" w:hAnsi="Arial" w:cs="Arial"/>
          <w:lang w:val="en-ZA"/>
        </w:rPr>
      </w:pPr>
    </w:p>
    <w:p w:rsidR="00A233D3" w:rsidRPr="00800DEA" w:rsidRDefault="00E07C8C" w:rsidP="006A2127">
      <w:pPr>
        <w:autoSpaceDE w:val="0"/>
        <w:autoSpaceDN w:val="0"/>
        <w:spacing w:line="276" w:lineRule="auto"/>
        <w:ind w:left="567" w:right="567"/>
        <w:jc w:val="both"/>
        <w:rPr>
          <w:rFonts w:ascii="Arial" w:hAnsi="Arial" w:cs="Arial"/>
          <w:lang w:val="en-ZA"/>
        </w:rPr>
      </w:pPr>
      <w:r w:rsidRPr="00800DEA">
        <w:rPr>
          <w:rFonts w:ascii="Arial" w:hAnsi="Arial" w:cs="Arial"/>
          <w:lang w:val="en-ZA"/>
        </w:rPr>
        <w:t xml:space="preserve">The Tribunal has approved a </w:t>
      </w:r>
      <w:r w:rsidR="00A233D3" w:rsidRPr="00800DEA">
        <w:rPr>
          <w:rFonts w:ascii="Arial" w:hAnsi="Arial" w:cs="Arial"/>
          <w:lang w:val="en-ZA"/>
        </w:rPr>
        <w:t xml:space="preserve">merger </w:t>
      </w:r>
      <w:r w:rsidRPr="00800DEA">
        <w:rPr>
          <w:rFonts w:ascii="Arial" w:hAnsi="Arial" w:cs="Arial"/>
          <w:lang w:val="en-ZA"/>
        </w:rPr>
        <w:t xml:space="preserve">between </w:t>
      </w:r>
      <w:r w:rsidR="00A233D3" w:rsidRPr="00800DEA">
        <w:rPr>
          <w:rFonts w:ascii="Arial" w:hAnsi="Arial" w:cs="Arial"/>
          <w:lang w:val="en-ZA"/>
        </w:rPr>
        <w:t xml:space="preserve">Brookfield Asset Management Inc. (Brookfield) </w:t>
      </w:r>
      <w:r w:rsidRPr="00800DEA">
        <w:rPr>
          <w:rFonts w:ascii="Arial" w:hAnsi="Arial" w:cs="Arial"/>
          <w:lang w:val="en-ZA"/>
        </w:rPr>
        <w:t>and T</w:t>
      </w:r>
      <w:r w:rsidR="009D3256" w:rsidRPr="00800DEA">
        <w:rPr>
          <w:rFonts w:ascii="Arial" w:hAnsi="Arial" w:cs="Arial"/>
          <w:lang w:val="en-ZA"/>
        </w:rPr>
        <w:t>erraFor</w:t>
      </w:r>
      <w:r w:rsidR="00A233D3" w:rsidRPr="00800DEA">
        <w:rPr>
          <w:rFonts w:ascii="Arial" w:hAnsi="Arial" w:cs="Arial"/>
          <w:lang w:val="en-ZA"/>
        </w:rPr>
        <w:t>m Global Inc. (</w:t>
      </w:r>
      <w:r w:rsidR="009D3256" w:rsidRPr="00800DEA">
        <w:rPr>
          <w:rFonts w:ascii="Arial" w:hAnsi="Arial" w:cs="Arial"/>
          <w:lang w:val="en-ZA"/>
        </w:rPr>
        <w:t>TerraFor</w:t>
      </w:r>
      <w:r w:rsidR="00A233D3" w:rsidRPr="00800DEA">
        <w:rPr>
          <w:rFonts w:ascii="Arial" w:hAnsi="Arial" w:cs="Arial"/>
          <w:lang w:val="en-ZA"/>
        </w:rPr>
        <w:t>m).</w:t>
      </w:r>
    </w:p>
    <w:p w:rsidR="00A233D3" w:rsidRPr="00800DEA" w:rsidRDefault="00A233D3" w:rsidP="006A2127">
      <w:pPr>
        <w:autoSpaceDE w:val="0"/>
        <w:autoSpaceDN w:val="0"/>
        <w:spacing w:line="276" w:lineRule="auto"/>
        <w:ind w:left="567" w:right="567"/>
        <w:jc w:val="both"/>
        <w:rPr>
          <w:rFonts w:ascii="Arial" w:hAnsi="Arial" w:cs="Arial"/>
          <w:lang w:val="en-ZA"/>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Brookfield, a Canadian firm, is listed on the New York, Toronto and Euronext Stock Exchanges and is not controlled by any firm. Brookfield is a global asset management company which owns and operated assets on behalf of shareholders and clients with a focus on property, renewable energy, infrastructure and private equity. It is active in South Africa through its control of GrafTech SA.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9D3256" w:rsidP="006A2127">
      <w:pPr>
        <w:spacing w:line="276" w:lineRule="auto"/>
        <w:ind w:left="567" w:right="567"/>
        <w:jc w:val="both"/>
        <w:rPr>
          <w:rFonts w:ascii="Arial" w:hAnsi="Arial" w:cs="Arial"/>
          <w:lang w:val="en-GB"/>
        </w:rPr>
      </w:pPr>
      <w:r w:rsidRPr="00800DEA">
        <w:rPr>
          <w:rFonts w:ascii="Arial" w:hAnsi="Arial" w:cs="Arial"/>
          <w:lang w:val="en-GB"/>
        </w:rPr>
        <w:t>TerraFor</w:t>
      </w:r>
      <w:r w:rsidR="00A233D3" w:rsidRPr="00800DEA">
        <w:rPr>
          <w:rFonts w:ascii="Arial" w:hAnsi="Arial" w:cs="Arial"/>
          <w:lang w:val="en-GB"/>
        </w:rPr>
        <w:t xml:space="preserve">m has interests in firms that own and operate solar and wind power plants located in different countries across the globe, including South Africa. </w:t>
      </w:r>
    </w:p>
    <w:p w:rsidR="00A233D3" w:rsidRPr="00800DEA" w:rsidRDefault="00A233D3" w:rsidP="006A2127">
      <w:pPr>
        <w:spacing w:line="276" w:lineRule="auto"/>
        <w:ind w:left="567" w:right="567"/>
        <w:jc w:val="both"/>
        <w:rPr>
          <w:rFonts w:ascii="Arial" w:hAnsi="Arial" w:cs="Arial"/>
          <w:lang w:val="en-GB"/>
        </w:rPr>
      </w:pPr>
    </w:p>
    <w:p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Post-merger Brookfield will exe</w:t>
      </w:r>
      <w:r w:rsidR="009D3256" w:rsidRPr="00800DEA">
        <w:rPr>
          <w:rFonts w:ascii="Arial" w:hAnsi="Arial" w:cs="Arial"/>
          <w:lang w:val="en-GB"/>
        </w:rPr>
        <w:t>rcise sole control over Terrafor</w:t>
      </w:r>
      <w:r w:rsidRPr="00800DEA">
        <w:rPr>
          <w:rFonts w:ascii="Arial" w:hAnsi="Arial" w:cs="Arial"/>
          <w:lang w:val="en-GB"/>
        </w:rPr>
        <w:t xml:space="preserve">m. </w:t>
      </w:r>
    </w:p>
    <w:p w:rsidR="002216E1" w:rsidRPr="00800DEA" w:rsidRDefault="002216E1" w:rsidP="006A2127">
      <w:pPr>
        <w:spacing w:line="276" w:lineRule="auto"/>
        <w:ind w:left="567" w:right="567"/>
        <w:jc w:val="both"/>
        <w:rPr>
          <w:rFonts w:ascii="Arial" w:hAnsi="Arial" w:cs="Arial"/>
          <w:lang w:val="en-GB"/>
        </w:rPr>
      </w:pPr>
    </w:p>
    <w:p w:rsidR="002216E1" w:rsidRPr="00800DEA" w:rsidRDefault="002216E1" w:rsidP="006A2127">
      <w:pPr>
        <w:ind w:left="567" w:right="567"/>
        <w:rPr>
          <w:rFonts w:ascii="Arial" w:hAnsi="Arial" w:cs="Arial"/>
          <w:b/>
        </w:rPr>
      </w:pPr>
      <w:r w:rsidRPr="00800DEA">
        <w:rPr>
          <w:rFonts w:ascii="Arial" w:hAnsi="Arial" w:cs="Arial"/>
          <w:b/>
        </w:rPr>
        <w:t xml:space="preserve">Tribunal </w:t>
      </w:r>
      <w:r w:rsidR="00800DEA" w:rsidRPr="00800DEA">
        <w:rPr>
          <w:rFonts w:ascii="Arial" w:hAnsi="Arial" w:cs="Arial"/>
          <w:b/>
        </w:rPr>
        <w:t xml:space="preserve">awaits further documents in connection with </w:t>
      </w:r>
      <w:r w:rsidRPr="00800DEA">
        <w:rPr>
          <w:rFonts w:ascii="Arial" w:hAnsi="Arial" w:cs="Arial"/>
          <w:b/>
        </w:rPr>
        <w:t>consent agreement involving home appliance company SBS Household Appliances t/a SMEG</w:t>
      </w:r>
      <w:r w:rsidR="00E07C8C" w:rsidRPr="00800DEA">
        <w:rPr>
          <w:rFonts w:ascii="Arial" w:hAnsi="Arial" w:cs="Arial"/>
          <w:b/>
        </w:rPr>
        <w:t xml:space="preserve"> </w:t>
      </w:r>
      <w:r w:rsidRPr="00800DEA">
        <w:rPr>
          <w:rFonts w:ascii="Arial" w:hAnsi="Arial" w:cs="Arial"/>
          <w:b/>
        </w:rPr>
        <w:t xml:space="preserve">(“Smeg”) </w:t>
      </w:r>
    </w:p>
    <w:p w:rsidR="002216E1" w:rsidRPr="00800DEA" w:rsidRDefault="002216E1" w:rsidP="006A2127">
      <w:pPr>
        <w:ind w:left="567" w:right="567"/>
        <w:rPr>
          <w:rFonts w:ascii="Arial" w:hAnsi="Arial" w:cs="Arial"/>
        </w:rPr>
      </w:pPr>
    </w:p>
    <w:p w:rsidR="002216E1" w:rsidRPr="00800DEA" w:rsidRDefault="002216E1" w:rsidP="006A2127">
      <w:pPr>
        <w:ind w:left="567" w:right="567"/>
        <w:rPr>
          <w:rFonts w:ascii="Arial" w:hAnsi="Arial" w:cs="Arial"/>
        </w:rPr>
      </w:pPr>
      <w:r w:rsidRPr="00800DEA">
        <w:rPr>
          <w:rFonts w:ascii="Arial" w:hAnsi="Arial" w:cs="Arial"/>
        </w:rPr>
        <w:t xml:space="preserve">The Tribunal </w:t>
      </w:r>
      <w:r w:rsidR="00E07C8C" w:rsidRPr="00800DEA">
        <w:rPr>
          <w:rFonts w:ascii="Arial" w:hAnsi="Arial" w:cs="Arial"/>
        </w:rPr>
        <w:t xml:space="preserve">has yet to deliver a decision on a </w:t>
      </w:r>
      <w:r w:rsidRPr="00800DEA">
        <w:rPr>
          <w:rFonts w:ascii="Arial" w:hAnsi="Arial" w:cs="Arial"/>
        </w:rPr>
        <w:t xml:space="preserve">consent agreement involving Smeg for minimum price maintenance. </w:t>
      </w:r>
      <w:r w:rsidR="00E07C8C" w:rsidRPr="00800DEA">
        <w:rPr>
          <w:rFonts w:ascii="Arial" w:hAnsi="Arial" w:cs="Arial"/>
        </w:rPr>
        <w:t>The Tribunal has requested additional information regarding certain figures and will consider th</w:t>
      </w:r>
      <w:r w:rsidR="009D3256" w:rsidRPr="00800DEA">
        <w:rPr>
          <w:rFonts w:ascii="Arial" w:hAnsi="Arial" w:cs="Arial"/>
        </w:rPr>
        <w:t xml:space="preserve">e agreement after it has received the information.  </w:t>
      </w:r>
    </w:p>
    <w:p w:rsidR="002216E1" w:rsidRPr="00800DEA" w:rsidRDefault="002216E1" w:rsidP="006A2127">
      <w:pPr>
        <w:ind w:left="567" w:right="567"/>
        <w:rPr>
          <w:rFonts w:ascii="Arial" w:hAnsi="Arial" w:cs="Arial"/>
        </w:rPr>
      </w:pPr>
    </w:p>
    <w:p w:rsidR="00E07C8C" w:rsidRPr="00800DEA" w:rsidRDefault="002216E1" w:rsidP="006A2127">
      <w:pPr>
        <w:ind w:left="567" w:right="567"/>
        <w:rPr>
          <w:rFonts w:ascii="Arial" w:hAnsi="Arial" w:cs="Arial"/>
        </w:rPr>
      </w:pPr>
      <w:r w:rsidRPr="00800DEA">
        <w:rPr>
          <w:rFonts w:ascii="Arial" w:hAnsi="Arial" w:cs="Arial"/>
        </w:rPr>
        <w:t>According to the complaint received by t</w:t>
      </w:r>
      <w:r w:rsidR="00E07C8C" w:rsidRPr="00800DEA">
        <w:rPr>
          <w:rFonts w:ascii="Arial" w:hAnsi="Arial" w:cs="Arial"/>
        </w:rPr>
        <w:t xml:space="preserve">he Commission on 8 June 2015 Save Hardware Wholesalers </w:t>
      </w:r>
      <w:r w:rsidRPr="00800DEA">
        <w:rPr>
          <w:rFonts w:ascii="Arial" w:hAnsi="Arial" w:cs="Arial"/>
        </w:rPr>
        <w:t xml:space="preserve">set the resale price of a gas stove supplied by Smeg at </w:t>
      </w:r>
      <w:r w:rsidRPr="00800DEA">
        <w:rPr>
          <w:rFonts w:ascii="Arial" w:hAnsi="Arial" w:cs="Arial"/>
        </w:rPr>
        <w:lastRenderedPageBreak/>
        <w:t xml:space="preserve">R14 799.00 while another retailer customer set its resale price of the same stove at R17 999. The discrepancy in price came to Smeg’s attention and it then instructed the complainant </w:t>
      </w:r>
      <w:r w:rsidR="00E07C8C" w:rsidRPr="00800DEA">
        <w:rPr>
          <w:rFonts w:ascii="Arial" w:hAnsi="Arial" w:cs="Arial"/>
        </w:rPr>
        <w:t>to refrain from selling the stoves at a price below the recommended price</w:t>
      </w:r>
      <w:r w:rsidR="00800DEA">
        <w:rPr>
          <w:rFonts w:ascii="Arial" w:hAnsi="Arial" w:cs="Arial"/>
        </w:rPr>
        <w:t xml:space="preserve">. </w:t>
      </w:r>
      <w:r w:rsidR="00E07C8C" w:rsidRPr="00800DEA">
        <w:rPr>
          <w:rFonts w:ascii="Arial" w:hAnsi="Arial" w:cs="Arial"/>
        </w:rPr>
        <w:t>When the client refused to adhere to Smeg’s directive to increase its price, Smeg terminated the suppl</w:t>
      </w:r>
      <w:r w:rsidR="00651367">
        <w:rPr>
          <w:rFonts w:ascii="Arial" w:hAnsi="Arial" w:cs="Arial"/>
        </w:rPr>
        <w:t>y of products to that retailer.</w:t>
      </w:r>
    </w:p>
    <w:p w:rsidR="00E07C8C" w:rsidRPr="00800DEA" w:rsidRDefault="00E07C8C" w:rsidP="006A2127">
      <w:pPr>
        <w:ind w:left="567" w:right="567"/>
        <w:rPr>
          <w:rFonts w:ascii="Arial" w:hAnsi="Arial" w:cs="Arial"/>
        </w:rPr>
      </w:pPr>
    </w:p>
    <w:p w:rsidR="00E07C8C" w:rsidRDefault="002216E1" w:rsidP="006A2127">
      <w:pPr>
        <w:ind w:left="567" w:right="567"/>
        <w:rPr>
          <w:rFonts w:ascii="Arial" w:hAnsi="Arial" w:cs="Arial"/>
        </w:rPr>
      </w:pPr>
      <w:r w:rsidRPr="00800DEA">
        <w:rPr>
          <w:rFonts w:ascii="Arial" w:hAnsi="Arial" w:cs="Arial"/>
        </w:rPr>
        <w:t xml:space="preserve">Smeg has admitted to engaging in the practice of minimum resale price maintenance in contravention of section 5(2) of the Act. The Commission </w:t>
      </w:r>
      <w:r w:rsidR="00651367">
        <w:rPr>
          <w:rFonts w:ascii="Arial" w:hAnsi="Arial" w:cs="Arial"/>
        </w:rPr>
        <w:t xml:space="preserve">has recommended an administrative penalty of </w:t>
      </w:r>
      <w:r w:rsidRPr="00800DEA">
        <w:rPr>
          <w:rFonts w:ascii="Arial" w:hAnsi="Arial" w:cs="Arial"/>
        </w:rPr>
        <w:t>R100 000 and conditions including that Smeg continues to supply products to the complainant and des</w:t>
      </w:r>
      <w:r w:rsidR="00E07C8C" w:rsidRPr="00800DEA">
        <w:rPr>
          <w:rFonts w:ascii="Arial" w:hAnsi="Arial" w:cs="Arial"/>
        </w:rPr>
        <w:t xml:space="preserve">ist in anti-competitive conduct, as well as </w:t>
      </w:r>
      <w:r w:rsidR="009D3256" w:rsidRPr="00800DEA">
        <w:rPr>
          <w:rFonts w:ascii="Arial" w:hAnsi="Arial" w:cs="Arial"/>
        </w:rPr>
        <w:t>implementing a</w:t>
      </w:r>
      <w:r w:rsidR="00651367">
        <w:rPr>
          <w:rFonts w:ascii="Arial" w:hAnsi="Arial" w:cs="Arial"/>
        </w:rPr>
        <w:t xml:space="preserve"> compliance programme, </w:t>
      </w:r>
      <w:r w:rsidR="009D3256" w:rsidRPr="00800DEA">
        <w:rPr>
          <w:rFonts w:ascii="Arial" w:hAnsi="Arial" w:cs="Arial"/>
        </w:rPr>
        <w:t>report</w:t>
      </w:r>
      <w:r w:rsidR="00651367">
        <w:rPr>
          <w:rFonts w:ascii="Arial" w:hAnsi="Arial" w:cs="Arial"/>
        </w:rPr>
        <w:t>ing</w:t>
      </w:r>
      <w:r w:rsidR="009D3256" w:rsidRPr="00800DEA">
        <w:rPr>
          <w:rFonts w:ascii="Arial" w:hAnsi="Arial" w:cs="Arial"/>
        </w:rPr>
        <w:t xml:space="preserve"> back to the Tribunal within 60 days of the date of confirmation of agreement. </w:t>
      </w:r>
    </w:p>
    <w:p w:rsidR="00800DEA" w:rsidRDefault="00800DEA" w:rsidP="006A2127">
      <w:pPr>
        <w:ind w:left="567" w:right="567"/>
        <w:rPr>
          <w:rFonts w:ascii="Arial" w:hAnsi="Arial" w:cs="Arial"/>
        </w:rPr>
      </w:pPr>
    </w:p>
    <w:p w:rsidR="00800DEA" w:rsidRPr="00800DEA" w:rsidRDefault="00800DEA" w:rsidP="006A2127">
      <w:pPr>
        <w:ind w:left="567" w:right="567"/>
        <w:rPr>
          <w:rFonts w:ascii="Arial" w:hAnsi="Arial" w:cs="Arial"/>
        </w:rPr>
      </w:pPr>
      <w:r>
        <w:rPr>
          <w:rFonts w:ascii="Arial" w:hAnsi="Arial" w:cs="Arial"/>
        </w:rPr>
        <w:t xml:space="preserve">The Tribunal will release its decision in due course. </w:t>
      </w:r>
    </w:p>
    <w:p w:rsidR="002216E1" w:rsidRPr="00800DEA" w:rsidRDefault="002216E1" w:rsidP="00367256">
      <w:pPr>
        <w:ind w:right="567"/>
        <w:rPr>
          <w:rFonts w:ascii="Arial" w:hAnsi="Arial" w:cs="Arial"/>
        </w:rPr>
      </w:pPr>
    </w:p>
    <w:p w:rsidR="00486D21" w:rsidRPr="00800DEA" w:rsidRDefault="00486D21" w:rsidP="006A2127">
      <w:pPr>
        <w:ind w:left="567" w:right="567"/>
        <w:jc w:val="both"/>
        <w:rPr>
          <w:rFonts w:ascii="Arial" w:hAnsi="Arial" w:cs="Arial"/>
          <w:color w:val="000000"/>
          <w:lang w:eastAsia="en-ZA"/>
        </w:rPr>
      </w:pP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Issued by: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Chantelle Benjamin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Communications: Competition Tribunal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Tel (012)394 1383                                      </w:t>
      </w:r>
    </w:p>
    <w:p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Cell: +27 (0) 73 007 5603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Twitter: @comptrib                                        </w:t>
      </w:r>
    </w:p>
    <w:p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5" w:history="1">
        <w:r w:rsidRPr="00800DEA">
          <w:rPr>
            <w:rStyle w:val="Hyperlink"/>
            <w:rFonts w:ascii="Arial" w:hAnsi="Arial" w:cs="Arial"/>
            <w:lang w:eastAsia="en-ZA"/>
          </w:rPr>
          <w:t>chantelleb@comptrib.co.za</w:t>
        </w:r>
      </w:hyperlink>
      <w:r w:rsidRPr="00800DEA">
        <w:rPr>
          <w:rFonts w:ascii="Arial" w:hAnsi="Arial" w:cs="Arial"/>
        </w:rPr>
        <w:t xml:space="preserve"> </w:t>
      </w:r>
    </w:p>
    <w:p w:rsidR="00486D21" w:rsidRPr="00800DEA" w:rsidRDefault="00486D21" w:rsidP="006A2127">
      <w:pPr>
        <w:ind w:left="567" w:right="567"/>
        <w:jc w:val="both"/>
        <w:rPr>
          <w:rFonts w:ascii="Arial" w:hAnsi="Arial" w:cs="Arial"/>
          <w:color w:val="000000"/>
        </w:rPr>
      </w:pPr>
    </w:p>
    <w:p w:rsidR="00486D21" w:rsidRPr="00800DEA" w:rsidRDefault="00486D21" w:rsidP="006A2127">
      <w:pPr>
        <w:ind w:left="567" w:right="567"/>
        <w:jc w:val="both"/>
        <w:rPr>
          <w:rFonts w:ascii="Arial" w:hAnsi="Arial" w:cs="Arial"/>
          <w:color w:val="000000"/>
        </w:rPr>
      </w:pP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On Behalf Of:</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Lerato Motaung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Registrar: Competition Tribunal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Tel: (012) 394 3355                                              </w:t>
      </w:r>
    </w:p>
    <w:p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Cell: +27 (0) 82 556 3221                                               </w:t>
      </w:r>
    </w:p>
    <w:p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6" w:history="1">
        <w:r w:rsidRPr="00800DEA">
          <w:rPr>
            <w:rStyle w:val="Hyperlink"/>
            <w:rFonts w:ascii="Arial" w:hAnsi="Arial" w:cs="Arial"/>
            <w:lang w:eastAsia="en-ZA"/>
          </w:rPr>
          <w:t>LeratoM@comptrib.co.za</w:t>
        </w:r>
      </w:hyperlink>
    </w:p>
    <w:p w:rsidR="00C35EB2" w:rsidRDefault="00CB2BA0"/>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E7"/>
    <w:rsid w:val="00007630"/>
    <w:rsid w:val="000E489F"/>
    <w:rsid w:val="00103A59"/>
    <w:rsid w:val="002216E1"/>
    <w:rsid w:val="00365299"/>
    <w:rsid w:val="00367256"/>
    <w:rsid w:val="003C165A"/>
    <w:rsid w:val="00482491"/>
    <w:rsid w:val="00486D21"/>
    <w:rsid w:val="0049343A"/>
    <w:rsid w:val="004B4D2B"/>
    <w:rsid w:val="0061580A"/>
    <w:rsid w:val="00651367"/>
    <w:rsid w:val="006A2127"/>
    <w:rsid w:val="00800DEA"/>
    <w:rsid w:val="009D3256"/>
    <w:rsid w:val="00A233D3"/>
    <w:rsid w:val="00B737E7"/>
    <w:rsid w:val="00CB2BA0"/>
    <w:rsid w:val="00D54527"/>
    <w:rsid w:val="00E07C8C"/>
    <w:rsid w:val="00FE7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05191-61C4-4F2C-870C-EF3B3B12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21"/>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D21"/>
    <w:rPr>
      <w:color w:val="0000FF"/>
      <w:u w:val="single"/>
    </w:rPr>
  </w:style>
  <w:style w:type="paragraph" w:styleId="BalloonText">
    <w:name w:val="Balloon Text"/>
    <w:basedOn w:val="Normal"/>
    <w:link w:val="BalloonTextChar"/>
    <w:uiPriority w:val="99"/>
    <w:semiHidden/>
    <w:unhideWhenUsed/>
    <w:rsid w:val="00CB2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A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9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2019-04-24T17:46:00Z</dcterms:created>
  <dcterms:modified xsi:type="dcterms:W3CDTF">2019-04-24T17:46:00Z</dcterms:modified>
</cp:coreProperties>
</file>